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резолютивная </w:t>
      </w:r>
      <w:r>
        <w:rPr>
          <w:rFonts w:ascii="Times New Roman" w:eastAsia="Times New Roman" w:hAnsi="Times New Roman" w:cs="Times New Roman"/>
          <w:sz w:val="28"/>
          <w:szCs w:val="28"/>
        </w:rPr>
        <w:t>часть постановления объявлена 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составлено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</w:t>
      </w:r>
      <w:r>
        <w:rPr>
          <w:rFonts w:ascii="Times New Roman" w:eastAsia="Times New Roman" w:hAnsi="Times New Roman" w:cs="Times New Roman"/>
          <w:sz w:val="28"/>
          <w:szCs w:val="28"/>
        </w:rPr>
        <w:t>омного округа-Югры Миненко Юлия Борисовна,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защитника БУ ХМАО-Югры «Окружная киническая больница» - Мурашовой А.С., действующей на основании доверенности №Д-14 от 23.06.2025,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мирового судьи судебного участка №3 Ханты-Мансийского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д.87/1 </w:t>
      </w:r>
      <w:r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820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sz w:val="28"/>
          <w:szCs w:val="28"/>
        </w:rPr>
        <w:t>, возбужденное по ч.1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 в отношении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Бюджетное учреждение Ханты-Мансийского автономного округа-Югры «Окружная клиническая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(сокращенное наименование-</w:t>
      </w:r>
      <w:r>
        <w:rPr>
          <w:rFonts w:ascii="Times New Roman" w:eastAsia="Times New Roman" w:hAnsi="Times New Roman" w:cs="Times New Roman"/>
          <w:sz w:val="28"/>
          <w:szCs w:val="28"/>
        </w:rPr>
        <w:t>БУ «Окружная клиничес</w:t>
      </w:r>
      <w:r>
        <w:rPr>
          <w:rFonts w:ascii="Times New Roman" w:eastAsia="Times New Roman" w:hAnsi="Times New Roman" w:cs="Times New Roman"/>
          <w:sz w:val="28"/>
          <w:szCs w:val="28"/>
        </w:rPr>
        <w:t>кая больница», далее по тексту у</w:t>
      </w:r>
      <w:r>
        <w:rPr>
          <w:rFonts w:ascii="Times New Roman" w:eastAsia="Times New Roman" w:hAnsi="Times New Roman" w:cs="Times New Roman"/>
          <w:sz w:val="28"/>
          <w:szCs w:val="28"/>
        </w:rPr>
        <w:t>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860</w:t>
      </w:r>
      <w:r>
        <w:rPr>
          <w:rFonts w:ascii="Times New Roman" w:eastAsia="Times New Roman" w:hAnsi="Times New Roman" w:cs="Times New Roman"/>
          <w:sz w:val="28"/>
          <w:szCs w:val="28"/>
        </w:rPr>
        <w:t>1004445</w:t>
      </w:r>
      <w:r>
        <w:rPr>
          <w:rFonts w:ascii="Times New Roman" w:eastAsia="Times New Roman" w:hAnsi="Times New Roman" w:cs="Times New Roman"/>
          <w:sz w:val="28"/>
          <w:szCs w:val="28"/>
        </w:rPr>
        <w:t>, ОГРН:</w:t>
      </w:r>
      <w:r>
        <w:rPr>
          <w:rFonts w:ascii="Times New Roman" w:eastAsia="Times New Roman" w:hAnsi="Times New Roman" w:cs="Times New Roman"/>
          <w:sz w:val="28"/>
          <w:szCs w:val="28"/>
        </w:rPr>
        <w:t>1028600514360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законный представитель юридического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–главный врач </w:t>
      </w:r>
      <w:r>
        <w:rPr>
          <w:rFonts w:ascii="Times New Roman" w:eastAsia="Times New Roman" w:hAnsi="Times New Roman" w:cs="Times New Roman"/>
          <w:sz w:val="28"/>
          <w:szCs w:val="28"/>
        </w:rPr>
        <w:t>Кутефа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Калинина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>о привл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не представлено,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 «Окружная клиническая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регистрации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Калинина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24:00 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выполнило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пунктов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№№</w:t>
      </w:r>
      <w:r>
        <w:rPr>
          <w:rFonts w:ascii="Times New Roman" w:eastAsia="Times New Roman" w:hAnsi="Times New Roman" w:cs="Times New Roman"/>
          <w:sz w:val="28"/>
          <w:szCs w:val="28"/>
        </w:rPr>
        <w:t>1, 2, 5, 14, 15, 16, 17, 18, 20, 22, 23, 24, 25, 26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2303/171-86/4-П/ПВП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13.04.2023 </w:t>
      </w:r>
      <w:r>
        <w:rPr>
          <w:rFonts w:ascii="Times New Roman" w:eastAsia="Times New Roman" w:hAnsi="Times New Roman" w:cs="Times New Roman"/>
          <w:sz w:val="28"/>
          <w:szCs w:val="28"/>
        </w:rPr>
        <w:t>об устранении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требований пожарной безопасности, </w:t>
      </w:r>
      <w:r>
        <w:rPr>
          <w:rFonts w:ascii="Times New Roman" w:eastAsia="Times New Roman" w:hAnsi="Times New Roman" w:cs="Times New Roman"/>
          <w:sz w:val="28"/>
          <w:szCs w:val="28"/>
        </w:rPr>
        <w:t>содержащихся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</w:rPr>
        <w:t>едеральном законе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22.07.2008 №123-ФЗ «Технический регламент о требованиях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Свод правил (далее СП)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7.13130.2013 «Отопление, вентиляция и кондиционирование. Требования пожарной безопасности»,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 1.13130.2020 «Система противопожарной защиты, эвакуационные пути и выходы», СП 3.13130.2009 «Системы противопожарной защиты. Система оповещения и управления эвакуацией людей при пожаре. Требования пожарной безопасности», СП 484.1311500.2020 «Системы противопожарной защиты. Системы пожарной сигнализации и автоматизации систем противопожарной защиты. Нормы и правила проектирования», </w:t>
      </w:r>
      <w:r>
        <w:rPr>
          <w:rFonts w:ascii="Times New Roman" w:eastAsia="Times New Roman" w:hAnsi="Times New Roman" w:cs="Times New Roman"/>
          <w:sz w:val="28"/>
          <w:szCs w:val="28"/>
        </w:rPr>
        <w:t>СНИП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2.04</w:t>
      </w:r>
      <w:r>
        <w:rPr>
          <w:rFonts w:ascii="Times New Roman" w:eastAsia="Times New Roman" w:hAnsi="Times New Roman" w:cs="Times New Roman"/>
          <w:sz w:val="28"/>
          <w:szCs w:val="28"/>
        </w:rPr>
        <w:t>.05-91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п.23 постановления Правительства РФ от 16.09.2020 №1479 «Об утверждении Правил противопожарного режима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 на объекте защиты</w:t>
      </w:r>
      <w:r>
        <w:rPr>
          <w:rFonts w:ascii="Times New Roman" w:eastAsia="Times New Roman" w:hAnsi="Times New Roman" w:cs="Times New Roman"/>
          <w:sz w:val="28"/>
          <w:szCs w:val="28"/>
        </w:rPr>
        <w:t>, на котором осуществляется деятельность в сфере здравоохранения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«Больничный комплекс литер А», находящемся в оперативном управлении данного учреждения здравоох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-внутренняя лестница 1-го типа, ведущая из подвального этажа (цокольного этажа) в помещение первого этажа, не оборудована тамбу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р-шлюзом с подачей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воздуха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пожаре системами приточной </w:t>
      </w:r>
      <w:r>
        <w:rPr>
          <w:rFonts w:ascii="Times New Roman" w:eastAsia="Times New Roman" w:hAnsi="Times New Roman" w:cs="Times New Roman"/>
          <w:sz w:val="28"/>
          <w:szCs w:val="28"/>
        </w:rPr>
        <w:t>противодымной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вентиляции (п.1 предписания);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-расстояние по путям эвакуации от двери наиболее удаленного помещения №57 подвального этажа (цокольный этаж) до выхода на лестничную клетку составляет 61 метр (более 35 метров) (п.2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 путям эвакуации от двери наиболее удаленного помещения №57 подвального этажа (цокольный этаж) до выхода на лестничную клетку более 35 метров (по факту 61 метр) (п.5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 третьем этаже объекта защиты, на котором допускается пребывание маломобильных групп населения, не предусмотрены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направленные на обеспечение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при пожаре. С этажа не предусмотрен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путь движения и (или) перемещения маломобильных групп населения, ведущий непосредственно наружу или в безопасную зону, удовлетворяющий требованиям безопасной эвакуации людей при пожаре (п.14 предписания);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-при контроле функционирования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пожарного </w:t>
      </w:r>
      <w:r>
        <w:rPr>
          <w:rFonts w:ascii="Times New Roman" w:eastAsia="Times New Roman" w:hAnsi="Times New Roman" w:cs="Times New Roman"/>
          <w:sz w:val="28"/>
          <w:szCs w:val="28"/>
        </w:rPr>
        <w:t>извещателя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помещении №9 (4 этаж) </w:t>
      </w:r>
      <w:r>
        <w:rPr>
          <w:rFonts w:ascii="Times New Roman" w:eastAsia="Times New Roman" w:hAnsi="Times New Roman" w:cs="Times New Roman"/>
          <w:sz w:val="28"/>
          <w:szCs w:val="28"/>
        </w:rPr>
        <w:t>путем воздействия на него соответствующим имитатором опасного фактора пожара (дым) не обеспечивается автоматическое обнаружение пожара (</w:t>
      </w:r>
      <w:r>
        <w:rPr>
          <w:rFonts w:ascii="Times New Roman" w:eastAsia="Times New Roman" w:hAnsi="Times New Roman" w:cs="Times New Roman"/>
          <w:sz w:val="28"/>
          <w:szCs w:val="28"/>
        </w:rPr>
        <w:t>п.15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-при формировании сигнала «пожар» в помещении №9 (4 этаж) не происходит отключения систем </w:t>
      </w:r>
      <w:r>
        <w:rPr>
          <w:rFonts w:ascii="Times New Roman" w:eastAsia="Times New Roman" w:hAnsi="Times New Roman" w:cs="Times New Roman"/>
          <w:sz w:val="28"/>
          <w:szCs w:val="28"/>
        </w:rPr>
        <w:t>общеобменной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вентиляции и закрытия противопожарных нормально открытых клапанов, автоматического включения системы оповещения и управления эвакуацией (п.16 предписания);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 помещение №11 (подвал) отсек, образованный штабелями материалов, стеллажами, верхние отметки которых стоят от потолка на 0,6 м. и менее не оборудованы пожарными </w:t>
      </w:r>
      <w:r>
        <w:rPr>
          <w:rFonts w:ascii="Times New Roman" w:eastAsia="Times New Roman" w:hAnsi="Times New Roman" w:cs="Times New Roman"/>
          <w:sz w:val="28"/>
          <w:szCs w:val="28"/>
        </w:rPr>
        <w:t>извещателями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-помещения регистратуры отделения функциональной диагностики №2316*, 216, 155 (2 этаж), 157 (1 этаж), 184, 79, 121, 74, 140 (подвал) не защищены системой пожарной сигнализации (</w:t>
      </w:r>
      <w:r>
        <w:rPr>
          <w:rFonts w:ascii="Times New Roman" w:eastAsia="Times New Roman" w:hAnsi="Times New Roman" w:cs="Times New Roman"/>
          <w:sz w:val="28"/>
          <w:szCs w:val="28"/>
        </w:rPr>
        <w:t>п.18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 помещении с атриумом высотой более 12 м. установлены точе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ные пожарные </w:t>
      </w:r>
      <w:r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вместо линейных пожарных </w:t>
      </w:r>
      <w:r>
        <w:rPr>
          <w:rFonts w:ascii="Times New Roman" w:eastAsia="Times New Roman" w:hAnsi="Times New Roman" w:cs="Times New Roman"/>
          <w:sz w:val="28"/>
          <w:szCs w:val="28"/>
        </w:rPr>
        <w:t>извещателей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(п.20 предписания);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 помещении №218 (2 этаж) значение уровня звуковых сигналов СОУЭ менее 75дБА (п.22 предписания);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 помещениях №77 (3 этаж), №180 (2 этаж), №25 и №15 (подвал) значение уровня звуковых сигналов СОУЭ менее 50 </w:t>
      </w:r>
      <w:r>
        <w:rPr>
          <w:rFonts w:ascii="Times New Roman" w:eastAsia="Times New Roman" w:hAnsi="Times New Roman" w:cs="Times New Roman"/>
          <w:sz w:val="28"/>
          <w:szCs w:val="28"/>
        </w:rPr>
        <w:t>дБА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(п.23 предписания);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 помещении палаты №193 (3 этаж) значение уровня звуковых сигналов СОУЭ менее 70 </w:t>
      </w:r>
      <w:r>
        <w:rPr>
          <w:rFonts w:ascii="Times New Roman" w:eastAsia="Times New Roman" w:hAnsi="Times New Roman" w:cs="Times New Roman"/>
          <w:sz w:val="28"/>
          <w:szCs w:val="28"/>
        </w:rPr>
        <w:t>дБА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п.24 предписания);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-не включены световые </w:t>
      </w:r>
      <w:r>
        <w:rPr>
          <w:rFonts w:ascii="Times New Roman" w:eastAsia="Times New Roman" w:hAnsi="Times New Roman" w:cs="Times New Roman"/>
          <w:sz w:val="28"/>
          <w:szCs w:val="28"/>
        </w:rPr>
        <w:t>оповещатели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«выход», установленные в коридо</w:t>
      </w:r>
      <w:r>
        <w:rPr>
          <w:rFonts w:ascii="Times New Roman" w:eastAsia="Times New Roman" w:hAnsi="Times New Roman" w:cs="Times New Roman"/>
          <w:sz w:val="28"/>
          <w:szCs w:val="28"/>
        </w:rPr>
        <w:t>рах 3-го подвального этажа (п.25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едписания)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-над эвакуационным выходом из 4 этажа отсутствует световой </w:t>
      </w:r>
      <w:r>
        <w:rPr>
          <w:rFonts w:ascii="Times New Roman" w:eastAsia="Times New Roman" w:hAnsi="Times New Roman" w:cs="Times New Roman"/>
          <w:sz w:val="28"/>
          <w:szCs w:val="28"/>
        </w:rPr>
        <w:t>оповещатель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«ВЫХОД» (п.26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Мурашова А.С.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нарушений правил пожарной безопасности не оспаривал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просила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финансовое и имущественное положение учреждения, которое достаточными денежными средствами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устранения всех пунктов предписания в установленный срок не располагает.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Учреждение оказывает платные услуги, но дохода от них недостаточно для того, чтобы привести объекты больницы в соответствии с требованиями пожарной безопасности.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врач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обращ</w:t>
      </w:r>
      <w:r>
        <w:rPr>
          <w:rFonts w:ascii="Times New Roman" w:eastAsia="Times New Roman" w:hAnsi="Times New Roman" w:cs="Times New Roman"/>
          <w:sz w:val="28"/>
          <w:szCs w:val="28"/>
        </w:rPr>
        <w:t>алась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учредителю с ходатайствами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выделении денежных средств для выполнения пунктов предписания, однако </w:t>
      </w:r>
      <w:r>
        <w:rPr>
          <w:rFonts w:ascii="Times New Roman" w:eastAsia="Times New Roman" w:hAnsi="Times New Roman" w:cs="Times New Roman"/>
          <w:sz w:val="28"/>
          <w:szCs w:val="28"/>
        </w:rPr>
        <w:t>денежные средства выделены лишь в октябре 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бездействует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принимает меры к устранению правил пожарной безопасности, </w:t>
      </w:r>
      <w:r>
        <w:rPr>
          <w:rFonts w:ascii="Times New Roman" w:eastAsia="Times New Roman" w:hAnsi="Times New Roman" w:cs="Times New Roman"/>
          <w:sz w:val="28"/>
          <w:szCs w:val="28"/>
        </w:rPr>
        <w:t>09.12.2024 заключен контракт с ИП Токаревым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поставку комплектующих для систем «Рубеж»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Просила прекратить дело, в связи с отсутствием вины юридического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Законный представитель юридического лица – главный врач </w:t>
      </w:r>
      <w:r>
        <w:rPr>
          <w:rFonts w:ascii="Times New Roman" w:eastAsia="Times New Roman" w:hAnsi="Times New Roman" w:cs="Times New Roman"/>
          <w:sz w:val="28"/>
          <w:szCs w:val="28"/>
        </w:rPr>
        <w:t>Кутефа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 до начала судебного заседания представила возражение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протокол, согласно которому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кружная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клиническая больница является бюджетным учреждением, финансирование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существляется Департаментом здравоохранения ХМАО-Югры, объект защиты находится в оперативном управлении, финансовые средства, выделяемые Учреждению, имеют строго целевое назначение. Штатным расписанием Учреждения не предусмотрены и отсутствуют сотрудники</w:t>
      </w:r>
      <w:r>
        <w:rPr>
          <w:rFonts w:ascii="Times New Roman" w:eastAsia="Times New Roman" w:hAnsi="Times New Roman" w:cs="Times New Roman"/>
          <w:sz w:val="28"/>
          <w:szCs w:val="28"/>
        </w:rPr>
        <w:t>. Которые 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произвести работы по установке систем противопожарной защиты, в связи с чем, учреждение вынуждено заключать государственные контракты со специализированными организациями.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Учреждение вменяется в вину пассивное поведение, вместе с тем, начиная с 2019 года учреждение многократно информировало Департамент здравоохранения о неисправности оборудования систем пожарной безопасности с просьбой выделить средства на цели обеспечения комплексной безопасности. При этом в соглашении №585 от 26.12.2023 «О порядке и условиях предоставления субсидии из бюджета ХМАО-Югры, мероприятие 52.27.03 (на цели обеспечения комплексной безопасности) отсутствовало. Субсидия на данное мероприятие выделена лишь в октябре 2024 г. Учреждение 09.12.2024 заключили контракт на поставку комплектующих для систем «РУБЕЖ», срок поставки 01.07.2025. Учреждение приняло все возможные меры к устранению допущенных нарушений, следовательно, отсутствует состав правонарушения, предусмотренный ч.13 ст.19.5 КоАП РФ, в связи с чем, дело просит прекратить.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шав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 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БУ «Окружная клиническая больница» является учреждением здравоохранения, основным видом деятельности которого является деятельность больничных организаций.</w:t>
      </w:r>
    </w:p>
    <w:p>
      <w:pPr>
        <w:spacing w:before="0" w:after="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13.04.2023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 «Окружная клиническая больница»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выдано 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>№2303/17/-86/4-П/РВП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устранению нарушений обязательных тр</w:t>
      </w:r>
      <w:r>
        <w:rPr>
          <w:rFonts w:ascii="Times New Roman" w:eastAsia="Times New Roman" w:hAnsi="Times New Roman" w:cs="Times New Roman"/>
          <w:sz w:val="28"/>
          <w:szCs w:val="28"/>
        </w:rPr>
        <w:t>ебований пожарной безопасности.</w:t>
      </w:r>
    </w:p>
    <w:p>
      <w:pPr>
        <w:spacing w:before="0" w:after="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>№2303/17/-86/4-П/РВП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получено представителем Учреждения 13.04.2023, установлен срок для исполнения предписаний </w:t>
      </w:r>
      <w:r>
        <w:rPr>
          <w:rFonts w:ascii="Times New Roman" w:eastAsia="Times New Roman" w:hAnsi="Times New Roman" w:cs="Times New Roman"/>
          <w:sz w:val="28"/>
          <w:szCs w:val="28"/>
        </w:rPr>
        <w:t>01.04.2024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 должн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остного </w:t>
      </w:r>
      <w:r>
        <w:rPr>
          <w:rFonts w:ascii="Times New Roman" w:eastAsia="Times New Roman" w:hAnsi="Times New Roman" w:cs="Times New Roman"/>
          <w:sz w:val="28"/>
          <w:szCs w:val="28"/>
        </w:rPr>
        <w:t>пожнадзора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02.04.2024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исполнения предписания продлен до 01.04.2025.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13.05.2025 </w:t>
      </w:r>
      <w:r>
        <w:rPr>
          <w:rFonts w:ascii="Times New Roman" w:eastAsia="Times New Roman" w:hAnsi="Times New Roman" w:cs="Times New Roman"/>
          <w:sz w:val="28"/>
          <w:szCs w:val="28"/>
        </w:rPr>
        <w:t>по итогам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внеплановой выездной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акт №2504/015-86/55-В/АВП, которым установлено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>пунктов №№1, 2, 5, 14, 15, 16, 17, 18, 20, 22, 23, 24, 25, 26 предписания №2303/171-86/4-П/ПВП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13.04.2023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выразившихся в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на объекте защиты</w:t>
      </w:r>
      <w:r>
        <w:rPr>
          <w:rFonts w:ascii="Times New Roman" w:eastAsia="Times New Roman" w:hAnsi="Times New Roman" w:cs="Times New Roman"/>
          <w:sz w:val="28"/>
          <w:szCs w:val="28"/>
        </w:rPr>
        <w:t>, на котором осуществляется деятельность в сфере здравоохранения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«Больничный комплекс литер А»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-внутренняя лестница 1-го типа, ведущая из подвального этажа (цокольного этажа) в помещение первого этажа, не оборудована тамбур-шлюзом с подачей воздуха при пожаре системами приточной </w:t>
      </w:r>
      <w:r>
        <w:rPr>
          <w:rFonts w:ascii="Times New Roman" w:eastAsia="Times New Roman" w:hAnsi="Times New Roman" w:cs="Times New Roman"/>
          <w:sz w:val="28"/>
          <w:szCs w:val="28"/>
        </w:rPr>
        <w:t>противодымной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вентиляции (п.1 предписания);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-расстояние по путям эвакуации от двери наиболее удаленного помещения №57 подвального этажа (цокольный этаж) до выхода на лестничную клетку составляет 61 метр (более 35 метров) (п.2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 путям эвакуации от двери наиболее удаленного помещения №57 подвального этажа (цокольный этаж) до выхода на лестничную клетку более 35 метров (по факту 61 метр) (п.5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 третьем этаже объекта защиты, на котором допускается пребывание маломобильных групп населения, не предусмотрены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направленные на обеспечение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при пожаре. С этажа не предусмотрен путь движения и (или) перемещения маломобильных групп населения, ведущий непосредственно наружу или в безопасную зону, удовлетворяющий требованиям безопасной эвакуации людей при пожаре (п.14 предписания);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-при контроле функционирования пожарного </w:t>
      </w:r>
      <w:r>
        <w:rPr>
          <w:rFonts w:ascii="Times New Roman" w:eastAsia="Times New Roman" w:hAnsi="Times New Roman" w:cs="Times New Roman"/>
          <w:sz w:val="28"/>
          <w:szCs w:val="28"/>
        </w:rPr>
        <w:t>извещателя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помещении №9 (4 этаж) путем воздействия на него соответствующим имитатором опасного фактора пожара (дым) не обеспечивается автоматическое обнаружение пожара (п.15 предписания);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-при формировании сигнала «пожар» в помещении №9 (4 этаж) не происходит отключения систем </w:t>
      </w:r>
      <w:r>
        <w:rPr>
          <w:rFonts w:ascii="Times New Roman" w:eastAsia="Times New Roman" w:hAnsi="Times New Roman" w:cs="Times New Roman"/>
          <w:sz w:val="28"/>
          <w:szCs w:val="28"/>
        </w:rPr>
        <w:t>общеобменной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вентиляции и закрытия противопожарных нормально открытых клапанов, автоматического включения системы оповещения и управления эвакуацией (п.16 предписания);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 помещение №11 (подвал) отсек, образованный штабелями материалов, стеллажами, верхние отметки которых стоят от потолка на 0,6 м. и менее не оборудованы пожарными </w:t>
      </w:r>
      <w:r>
        <w:rPr>
          <w:rFonts w:ascii="Times New Roman" w:eastAsia="Times New Roman" w:hAnsi="Times New Roman" w:cs="Times New Roman"/>
          <w:sz w:val="28"/>
          <w:szCs w:val="28"/>
        </w:rPr>
        <w:t>извещателями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(п.17 предписания);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-помещения регистратуры отделения функциональной диагностики №2316*, 216, 155 (2 этаж), 157 (1 этаж), 184, 79, 121, 74, 140 (подвал) не защищены системой пожарной сигнализации (п.18 предписания);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 помещении с атриумом высотой более 12 м. установлены точечные пожарные </w:t>
      </w:r>
      <w:r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вместо линейных пожарных </w:t>
      </w:r>
      <w:r>
        <w:rPr>
          <w:rFonts w:ascii="Times New Roman" w:eastAsia="Times New Roman" w:hAnsi="Times New Roman" w:cs="Times New Roman"/>
          <w:sz w:val="28"/>
          <w:szCs w:val="28"/>
        </w:rPr>
        <w:t>извещателей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(п.20 предписания);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 помещении №218 (2 этаж) значение уровня звуковых сигналов СОУЭ менее 75дБА (п.22 предписания);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 помещениях №77 (3 этаж), №180 (2 этаж), №25 и №15 (подвал) значение уровня звуковых сигналов СОУЭ менее 50 </w:t>
      </w:r>
      <w:r>
        <w:rPr>
          <w:rFonts w:ascii="Times New Roman" w:eastAsia="Times New Roman" w:hAnsi="Times New Roman" w:cs="Times New Roman"/>
          <w:sz w:val="28"/>
          <w:szCs w:val="28"/>
        </w:rPr>
        <w:t>дБА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(п.23 предписания);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 помещении палаты №193 (3 этаж) значение уровня звуковых сигналов СОУЭ менее 70 </w:t>
      </w:r>
      <w:r>
        <w:rPr>
          <w:rFonts w:ascii="Times New Roman" w:eastAsia="Times New Roman" w:hAnsi="Times New Roman" w:cs="Times New Roman"/>
          <w:sz w:val="28"/>
          <w:szCs w:val="28"/>
        </w:rPr>
        <w:t>дБА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(п.24 предписания);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-не включены световые </w:t>
      </w:r>
      <w:r>
        <w:rPr>
          <w:rFonts w:ascii="Times New Roman" w:eastAsia="Times New Roman" w:hAnsi="Times New Roman" w:cs="Times New Roman"/>
          <w:sz w:val="28"/>
          <w:szCs w:val="28"/>
        </w:rPr>
        <w:t>оповещатели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«выход», установленные в коридорах 3-го подвального этажа (п.25 предписания);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-над эвакуационным выходом из 4 этажа отсутствует световой </w:t>
      </w:r>
      <w:r>
        <w:rPr>
          <w:rFonts w:ascii="Times New Roman" w:eastAsia="Times New Roman" w:hAnsi="Times New Roman" w:cs="Times New Roman"/>
          <w:sz w:val="28"/>
          <w:szCs w:val="28"/>
        </w:rPr>
        <w:t>оповещатель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«ВЫХОД» (п.26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подтверждаются протоколом об административном правонарушении №2505-86-015-00072/6/1 от 10.06.2025; решением о проведении внеплановой выездной проверки от 16.04.2025; актом внеплановой выездной проверки от 13.05.2025;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предписанием №№2504/015-86/55-В/ПВП от 13.05.2025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нарушений требований пожарной безопасности; протоколом осмотра от 13.05.2025; протоколом опроса представителя контролируемого лица от 13.05.2025; протоколом инструментального обследования от 13.05.2025; заявлением о согласовании с прокурором проведения внепланового контрольного мероприятия от 16.04.2025; мотивированным представлением (рапортом) о необходимости проведения проверки исполнения предписания от 16.04.2025; копией решения прокурора о результатах рассмотрения о согласовании проведения внепланового контрольного (надзорного) мероприятия от 21.04.2025; копией предписания об устранении нарушений обязательных требований пожарной безопасности №2302/171-86/4-П/РВП от 13.04.2023; копиями решений по итогам рассмотрения жалобы от 02.04.2024 и от 27.03.2024; копиями заключений №З-367/2025 от 07.05.2025 и №З-366/2025 от 07.05.2025 по результатам испытаний (исследований) и измерений в области пожарной безопасности, копией выписки из ЕГРЮЛ в отношении БУ «Окружная клиническая больница».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атериалы дела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юридическим лицом </w:t>
      </w:r>
      <w:r>
        <w:rPr>
          <w:rFonts w:ascii="Times New Roman" w:eastAsia="Times New Roman" w:hAnsi="Times New Roman" w:cs="Times New Roman"/>
          <w:sz w:val="28"/>
          <w:szCs w:val="28"/>
        </w:rPr>
        <w:t>БУ «Окружная клиническая больница» не приняты все зависящие от него меры по надлежащему выполнению в полном объеме предписания об устранении нарушений обязательных требований пожарной безопасности в установленный срок.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Представленная главным врачом переписка с Департаментом здравоохранения ХМАО-Югры и КУ «Центр медицины катастроф», согласно которой Учреждение дважды после вынесения предписания: 14.07.2023 и 19.07.2024 обращалось в Департамент здравоохранения округа и единожды в КУ </w:t>
      </w:r>
      <w:r>
        <w:rPr>
          <w:rFonts w:ascii="Times New Roman" w:eastAsia="Times New Roman" w:hAnsi="Times New Roman" w:cs="Times New Roman"/>
          <w:sz w:val="28"/>
          <w:szCs w:val="28"/>
        </w:rPr>
        <w:t>«Центр медицины катастроф» с просьбой к Департаменту о выделении дополнительного финансирования на реализацию замены автоматической пожарной сигнализации на объектах БУ «Окружная клиническая больница» и к Центру медицины катастроф об оказании содействия в выделении финансирования для реализации данных мероприятий, не свидетельствует о принятии всех возможных мер для исполнения предписания и устранения обязательных требований пожарной безопасности.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суд отмечает, что данные письма носят формальный характер, не содержат расчетов о необходимых затратах для устранения пунктов выявленных нарушений, содержащихся в предписании от 13.04.2025.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выписке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ЕГРЮЛ учредителями БУ «Окружная клиническая больница» являются как Департамент здравоохранения так и Департамент государственной собственности ХМАО-Югры, при этом, каких-либо мотивированных писем в адрес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 государственной собственности округа Учреждением не направлялось. Как и в адрес Правительства и Губернатора автономного округа.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указывают на бездействие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исполнении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пожнадзора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 факт недостаточности финансирования не является основанием для невыполнения законного предписания органа, осуществляющего государственный пожарный надзор. При этом,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пояснением защитника больница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оказывает платные услуги, доходы от которых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могли быть направлены на устранение нарушений обязательных требований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Оценив, представленные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в их совокупности, суд находит их допустимыми и приходит к выводу, что обстоятельства, изложенные в протоколе об административном правонарушении, иных материалах дела не противоречат друг другу, оснований не доверять сведениям, указанным в них, не имеется, протокол составлен уполномоченным должностным лицом в соответствии с требованиями КоАП РФ, нарушений процессуальных требований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</w:t>
      </w:r>
      <w:r>
        <w:rPr>
          <w:rFonts w:ascii="Times New Roman" w:eastAsia="Times New Roman" w:hAnsi="Times New Roman" w:cs="Times New Roman"/>
          <w:sz w:val="28"/>
          <w:szCs w:val="28"/>
        </w:rPr>
        <w:t>их возможность привлечения БУ «</w:t>
      </w:r>
      <w:r>
        <w:rPr>
          <w:rFonts w:ascii="Times New Roman" w:eastAsia="Times New Roman" w:hAnsi="Times New Roman" w:cs="Times New Roman"/>
          <w:sz w:val="28"/>
          <w:szCs w:val="28"/>
        </w:rPr>
        <w:t>Окружная клиническая больница» к административной ответственности,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 «Окружная клиническая больница»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квалифицирует по ч.13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административное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равонарушение, в соответствии с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4" w:anchor="/document/12125267/entry/41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</w:t>
      </w:r>
      <w:hyperlink r:id="rId4" w:anchor="/document/12125267/entry/195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ч.13 ст.19.5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в виде нал</w:t>
      </w:r>
      <w:r>
        <w:rPr>
          <w:rFonts w:ascii="Times New Roman" w:eastAsia="Times New Roman" w:hAnsi="Times New Roman" w:cs="Times New Roman"/>
          <w:sz w:val="28"/>
          <w:szCs w:val="28"/>
        </w:rPr>
        <w:t>ожения административного штрафа от девяноста тысяч до ста тысяч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раздела II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за исключением случаев, предусмотренных частью 2 настоящей статьи (</w:t>
      </w:r>
      <w:hyperlink r:id="rId4" w:anchor="/document/12125267/entry/41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ст.4.1.1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положений </w:t>
      </w:r>
      <w:hyperlink r:id="rId4" w:anchor="/document/12125267/entry/41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ч.2 ст.4.1.1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4" w:anchor="/document/12125267/entry/1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13.15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33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13.37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4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14.31 - 14.33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45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14.56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5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52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15.27.3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5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19.8 - 19.8.2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19.23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2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4" w:anchor="/document/12125267/entry/19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 статьи 19.27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19.29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0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3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19.34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2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20280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20.28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оснований для замены штраф предупреждением у суда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ст.2.9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 (</w:t>
      </w:r>
      <w:hyperlink r:id="rId4" w:anchor="/document/12139487/entry/21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абз.3 п.21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24.03.2005 №5 «О некоторых вопросах, возникших у судов при применении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правовой позиции, высказанной Конституционным Судом Российской Федерации в </w:t>
      </w:r>
      <w:hyperlink r:id="rId4" w:anchor="/document/71332962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17.02.2016 №5-П, относительно правомочия суда признать административное правонарушение малозначительным и, соответственно, освободить совершившее его лицо от административной ответственности (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 2.9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правонарушениях), то такой способ обеспечения справедливости административного наказания и его соразмерности правонарушающему деянию можно считать оправданным лишь при условии, что это деяние с учетом его характера, личности правонарушителя и тяжести наступивших последствий хотя </w:t>
      </w:r>
      <w:r>
        <w:rPr>
          <w:rFonts w:ascii="Times New Roman" w:eastAsia="Times New Roman" w:hAnsi="Times New Roman" w:cs="Times New Roman"/>
          <w:sz w:val="28"/>
          <w:szCs w:val="28"/>
        </w:rPr>
        <w:t>формально и содержит признаки состава административного правонарушения, но не причиняет существенного ущерба охраняемым общественным отношениям.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использование такой возможности всякий раз, когда правоприменительный орган считает наказание несоразмерным, способствовало бы, как отмечал Конституционный Суд Российской Федерации в </w:t>
      </w:r>
      <w:hyperlink r:id="rId4" w:anchor="/document/70299954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постановлениях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17.01.2013 №1-П и от 25.02.2014 №</w:t>
      </w:r>
      <w:hyperlink r:id="rId4" w:anchor="/document/70599182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4-П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формированию атмосферы безнаказанности, несовместимой с принципом неотвратимости ответственности, вытекающим из </w:t>
      </w:r>
      <w:hyperlink r:id="rId4" w:anchor="/document/10103000/entry/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статей 4 (часть 2)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0103000/entry/15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 (часть 2)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4" w:anchor="/document/10103000/entry/19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 (части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4" w:anchor="/document/10103000/entry/19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Недостаточное финансирование не является основанием для невыполнения законного предписания органа, осуществляющего федеральный государственный пожарный надзор. Допущенные нарушения требований пожарной безопасности, на необходимость устранения которых было указано в предписании, могут повлечь негативные последствия, привести к недопустимому риску для жизни и здоровья людей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территории и в помещениях БУ «Окружная клиническая больница», в связи с чем оснований для признания совершенного правонарушения малозначительным и освобождения юридического лица от административной ответственности на основании 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 «Окружная клиническая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правонарушение, посягающее </w:t>
      </w:r>
      <w:r>
        <w:rPr>
          <w:rFonts w:ascii="Times New Roman" w:eastAsia="Times New Roman" w:hAnsi="Times New Roman" w:cs="Times New Roman"/>
          <w:sz w:val="28"/>
          <w:szCs w:val="28"/>
        </w:rPr>
        <w:t>на поря</w:t>
      </w:r>
      <w:r>
        <w:rPr>
          <w:rFonts w:ascii="Times New Roman" w:eastAsia="Times New Roman" w:hAnsi="Times New Roman" w:cs="Times New Roman"/>
          <w:sz w:val="28"/>
          <w:szCs w:val="28"/>
        </w:rPr>
        <w:t>док управления. Обст</w:t>
      </w:r>
      <w:r>
        <w:rPr>
          <w:rFonts w:ascii="Times New Roman" w:eastAsia="Times New Roman" w:hAnsi="Times New Roman" w:cs="Times New Roman"/>
          <w:sz w:val="28"/>
          <w:szCs w:val="28"/>
        </w:rPr>
        <w:t>оятельствами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ответственность, являю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признание вины в совершенном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части пунктов предписания,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принятие мер для устранения допущенных нарушений противопожарной безопасности,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суд считает возможным назначение </w:t>
      </w:r>
      <w:r>
        <w:rPr>
          <w:rFonts w:ascii="Times New Roman" w:eastAsia="Times New Roman" w:hAnsi="Times New Roman" w:cs="Times New Roman"/>
          <w:sz w:val="28"/>
          <w:szCs w:val="28"/>
        </w:rPr>
        <w:t>БУ «Окружная клиническая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минимальном размере,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БУ «Окружная клиническая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штрафа в размере 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девяноста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ответственности, не позднее шестидесяти дней со дня вступления постановления о </w:t>
      </w:r>
      <w:r>
        <w:rPr>
          <w:rFonts w:ascii="Times New Roman" w:eastAsia="Times New Roman" w:hAnsi="Times New Roman" w:cs="Times New Roman"/>
          <w:sz w:val="28"/>
          <w:szCs w:val="28"/>
        </w:rPr>
        <w:t>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007162163 ОКТМО 71871000 ИНН 8601073664 КПП 860101001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72011601193010005140 </w:t>
      </w:r>
      <w:r>
        <w:rPr>
          <w:rFonts w:ascii="Times New Roman" w:eastAsia="Times New Roman" w:hAnsi="Times New Roman" w:cs="Times New Roman"/>
          <w:sz w:val="28"/>
          <w:szCs w:val="28"/>
        </w:rPr>
        <w:t>УИН: 0412365400725008202519155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79774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167E9-B118-4C9B-9DE0-8C7A75E6D95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